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20 vom 12. Juni 2018</w:t>
      </w:r>
    </w:p>
    <w:p>
      <w:r>
        <w:t>GR Gerichte, 2018-06-12, DE</w:t>
      </w:r>
    </w:p>
    <w:p>
      <w:r>
        <w:rPr>
          <w:b/>
        </w:rPr>
        <w:t xml:space="preserve">Quelle: </w:t>
      </w:r>
      <w:r>
        <w:t>https://mcp.opencaselaw.ch/entscheid/gr_gerichte_U 2017 20</w:t>
      </w:r>
    </w:p>
    <w:p>
      <w:r>
        <w:t>FR: GR_GERICHTE U 2017 20 du 12 juin 2018</w:t>
      </w:r>
    </w:p>
    <w:p>
      <w:r>
        <w:t>IT: GR_GERICHTE U 2017 20 del 12 giugno 2018</w:t>
      </w:r>
    </w:p>
    <w:p>
      <w:pPr>
        <w:pStyle w:val="Heading2"/>
      </w:pPr>
      <w:r>
        <w:t>Regeste</w:t>
      </w:r>
    </w:p>
    <w:p>
      <w:r>
        <w:t>amtliche Schätzung | amtliche Bewertung</w:t>
      </w:r>
    </w:p>
    <w:p>
      <w:pPr>
        <w:pStyle w:val="Heading2"/>
      </w:pPr>
      <w:r>
        <w:t>Erwägungen</w:t>
      </w:r>
    </w:p>
    <w:p>
      <w:r>
        <w:rPr>
          <w:b/>
        </w:rPr>
        <w:t>E. 4</w:t>
      </w:r>
    </w:p>
    <w:p>
      <w:r>
        <w:t>Kammer Vorsitz Racioppi Richter Meisser, von Salis Aktuarin ad hoc Muratovic URTEIL vom 12. Juni 2018 in der Streitsache Eheleute A._____, vertreten durch Rechtsanwalt Dr. iur. Patrik Wagner, Beschwerdeführer gegen Amt für Immobilienbewertung Graubünden, Beschwerdegegner betreffend amtliche Schätzung</w:t>
      </w:r>
    </w:p>
    <w:p>
      <w:r>
        <w:t>- 2 - 1. Die Eheleute haben am 7. September 2011, in Ausübung ihres im April 2010 vereinbarten Kaufrechts, die Parzelle Nr. 4793, in X._____, zum Preis von Fr. 2'100'000.-- bzw. Fr. 1'185.80 / m² je zu gleichen Teilen im Miteigentum erworben. Kurz darauf erteilte ihnen die Baubehörde X._____ am 21. Oktober 2011 die Baubewilligung für ein Einfamilienhaus mit der Auflage der Erstwohnungspflicht. Die öffentlich-rechtliche Eigen- tumsbeschränkung der Erstwohnungspflicht, datiert vom 17. Februar 2012, ist im Grundbuch angemerkt. Nach Abschluss der Bauarbeiten be- zogen die Eheleute Ende Mai 2014, in Erfüllung der Erstwohnungsaufla- ge, ihr neues Einfamilienhaus zu Wohnzwecken und beantragten eine Grundstückschätzung. 2. Nach Besichtigung des Objektes wurden den Eheleuten mit Verfügung des kantonalen Schätzungsbezirks 3 (nachfolgend Schätzungsbezirk 3) vom</w:t>
      </w:r>
    </w:p>
    <w:p>
      <w:r>
        <w:rPr>
          <w:b/>
        </w:rPr>
        <w:t>E. 5</w:t>
      </w:r>
    </w:p>
    <w:p>
      <w:r>
        <w:t>Juli 2016 folgende Schätzungswerte eröffnet: Neuwert Fr. 7'648'800.--, Zeitwert Fr. 7'648'800.--, Mietwert Fr. 96'240.--, Ertrags- wert Fr. 1'604'000.-- und Verkehrswert Fr. 10'775'000.--. Dagegen erho- ben die Miteigentümer gemeinsam am 3. August 2016 Beschwerde beim kantonalen Amt für Schätzungswesen (ASW) und beantragten die Herab- setzung des Eigenmietwertes des Wohnteils von Fr. 90'000.-- auf Fr. 50'400.--, eine Reduktion der angenommenen zwei Aussenparkplätze auf eineinhalb Plätze und der angenommenen drei Garagenplätze auf zwei Plätze, sowie eine Reduktion der geschätzten Mietwerte für die Aus- senparkplätze von Fr. 1'560.-- auf Fr. 720.-- und der Garagenplätze von Fr. 4'680.-- auf Fr. 1'200.--. Schliesslich sei ein neuer Ertragswert von Fr. 888'667.-- zu verfügen, weil sich ein Mietwert von Fr. 52'320.-- für das Wohnhaus, die Garagenplätze und Aussenparkplätze ergebe. Mit Ent- scheid des ASW vom 19. Januar 2017 wurde die Beschwerde teilweise gutgeheissen und zur Neueinschätzung zurückgewiesen (Ziff. 1). Dabei habe der Schätzungsbezirk 3 bei der angeordneten Neuberechnung fol- gende Anpassungen vorzunehmen: Der Bodenwert sei auf Fr. 790.-- / m²,</w:t>
      </w:r>
    </w:p>
    <w:p>
      <w:r>
        <w:t>- 3 - der Realwert auf Fr. 9'944'500.--, der Mietwert auf Fr. 95'160.--, der Er- tragswert, bei unverändertem Kapitalisierungssatz von</w:t>
      </w:r>
    </w:p>
    <w:p>
      <w:r>
        <w:rPr>
          <w:b/>
        </w:rPr>
        <w:t>E. 6</w:t>
      </w:r>
    </w:p>
    <w:p>
      <w:r>
        <w:t>Zu der Eingabe der Beschwerdeführer nahm das ASW mit Duplik vom 22. Juni 2017 abschliessend Stellung und führte aus, dass es vollumfäng- lich an seinem Beschwerdeentscheid, den darin gemachten Erwägungen sowie an seinen Ausführungen in der Vernehmlassung festhalte. Mit der Begründung, die Liegenschaft sei vom Verwaltungsgericht selbst noch nie besichtigt worden, hält das ASW zusätzlich an seinen Beweisantrag, er- neut einen Augenschein durchzuführen, ausdrücklich fest. Weil die Replik keine neuen Argumente enthalte, gehe das ASW nur auf ausgewählte Aspekte derselben ein. Insofern die Beschwerdeführer vorbringen, die Ausführungen des ASW bezüglich der Überprüfungsbefugnis des Verwal-</w:t>
      </w:r>
    </w:p>
    <w:p>
      <w:r>
        <w:t>- 8 - tungsgerichts seien "behauptet", so gehe dies in Verkennung der Judika- tur fehl. Die sich auf Tabellen der Credit Suisse, Zeitungsartikel, Preislis- ten der Angebote in Online-Portalen oder subjektive Einschätzungen stüt- zenden Ausführungen der Beschwerdeführer seien ausserdem irrelevant. Des Weiteren seien die Handänderungen der angeführten Beispiele aus dem X._____er Erstwohnungs-, Zweitwohnungs- und Ersthausmarkt alle- samt nach der Schätzung der Liegenschaft der Beschwerdeführer vom 5. Juli 2016 erfolgt. Letztere sei unter Anwendung des zum massgeben- den Zeitpunkt geltenden Rechts, Orientierung am konkreten Markt und Ermittlung der Preise anhand von Vergleichsobjekten erfolgt. Die vorlie- genden Schätzungswerte seien somit vollumfänglich rechtmässig ermittelt worden.</w:t>
      </w:r>
    </w:p>
    <w:p>
      <w:r>
        <w:rPr>
          <w:b/>
        </w:rPr>
        <w:t>E. 7</w:t>
      </w:r>
    </w:p>
    <w:p>
      <w:r>
        <w:t>Mit der nach Abschluss des doppelten Schriftenwechsels eingereichten Eingabe vom 30. Juni 2017 haben die Beschwerdeführer nichts Neues vorgebracht, sondern "der Klarheit halber" bloss einige Punkte kurz fest- gehalten. Gleichzeitig reichten sie in der Beilage die bis zu diesem Zeit- punkt aufgelaufene Kostennote ein.</w:t>
      </w:r>
    </w:p>
    <w:p>
      <w:r>
        <w:rPr>
          <w:b/>
        </w:rPr>
        <w:t>E. 8</w:t>
      </w:r>
    </w:p>
    <w:p>
      <w:r>
        <w:t>Das Verwaltungsgericht gewährte dem ASW mit verfahrensleitender Ver- fügung vom 3. Juli 2017 die Möglichkeit zur Stellungnahme bezüglich der erneuten Eingabe der Beschwerdeführer sowie zur Honorar- und Kosten- note. Das ASW teilte mit Schreiben vom 5. Juli 2017 mit, dass es an sei- nen Anträgen festhalte, die erneute Eingabe der Beschwerdeführer vom 30. Juni 2017 umfassend bestreite und im Übrigen – unter Verweis auf seine bisherigen Ausführungen – auf eine weiterführende Stellungnahme zur Eingabe verzichte.</w:t>
      </w:r>
    </w:p>
    <w:p>
      <w:r>
        <w:rPr>
          <w:b/>
        </w:rPr>
        <w:t>E. 9</w:t>
      </w:r>
    </w:p>
    <w:p>
      <w:r>
        <w:t>Auf den angefochtenen Beschwerdeentscheid sowie die weiteren Aus- führungen der Parteien in den Rechtsschriften und die eingereichten Be- weismittel wird, soweit erforderlich, in den Erwägungen eingegangen.</w:t>
      </w:r>
    </w:p>
    <w:p>
      <w:r>
        <w:t>- 9 -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